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544C" w14:textId="322CC6F5" w:rsidR="00F46912" w:rsidRDefault="00F46912" w:rsidP="00697FCA">
      <w:pPr>
        <w:pStyle w:val="xmsonormal"/>
        <w:rPr>
          <w:rFonts w:ascii="Arial" w:hAnsi="Arial" w:cs="Arial"/>
          <w:b/>
          <w:bCs/>
          <w:color w:val="000000"/>
        </w:rPr>
      </w:pPr>
      <w:r w:rsidRPr="00F46912">
        <w:rPr>
          <w:rFonts w:ascii="Arial" w:hAnsi="Arial" w:cs="Arial"/>
          <w:b/>
          <w:bCs/>
          <w:color w:val="000000"/>
        </w:rPr>
        <w:t xml:space="preserve">ALDBURY PARISH GRANTS </w:t>
      </w:r>
      <w:r w:rsidR="00206880">
        <w:rPr>
          <w:rFonts w:ascii="Arial" w:hAnsi="Arial" w:cs="Arial"/>
          <w:b/>
          <w:bCs/>
          <w:color w:val="000000"/>
        </w:rPr>
        <w:t>-</w:t>
      </w:r>
      <w:r w:rsidRPr="00F46912">
        <w:rPr>
          <w:rFonts w:ascii="Arial" w:hAnsi="Arial" w:cs="Arial"/>
          <w:b/>
          <w:bCs/>
          <w:color w:val="000000"/>
        </w:rPr>
        <w:t xml:space="preserve"> BRIEF REPORT </w:t>
      </w:r>
    </w:p>
    <w:p w14:paraId="024ED3E4" w14:textId="77777777" w:rsidR="002D6606" w:rsidRDefault="002D6606" w:rsidP="00697FCA">
      <w:pPr>
        <w:pStyle w:val="xmsonormal"/>
        <w:rPr>
          <w:rFonts w:ascii="Arial" w:hAnsi="Arial" w:cs="Arial"/>
          <w:b/>
          <w:bCs/>
          <w:color w:val="000000"/>
        </w:rPr>
      </w:pPr>
    </w:p>
    <w:p w14:paraId="5CFD672F" w14:textId="174A9C51" w:rsidR="002D6606" w:rsidRPr="00F46912" w:rsidRDefault="002D6606" w:rsidP="00697FCA">
      <w:pPr>
        <w:pStyle w:val="xmsonormal"/>
        <w:rPr>
          <w:rFonts w:ascii="Arial" w:hAnsi="Arial" w:cs="Arial"/>
          <w:b/>
          <w:bCs/>
          <w:color w:val="000000"/>
        </w:rPr>
      </w:pPr>
      <w:r>
        <w:rPr>
          <w:rFonts w:ascii="Arial" w:hAnsi="Arial" w:cs="Arial"/>
          <w:b/>
          <w:bCs/>
          <w:color w:val="000000"/>
        </w:rPr>
        <w:t xml:space="preserve">APC meeting </w:t>
      </w:r>
      <w:r w:rsidR="00A2781A">
        <w:rPr>
          <w:rFonts w:ascii="Arial" w:hAnsi="Arial" w:cs="Arial"/>
          <w:b/>
          <w:bCs/>
          <w:color w:val="000000"/>
        </w:rPr>
        <w:t>3</w:t>
      </w:r>
      <w:r w:rsidR="00A2781A" w:rsidRPr="00A2781A">
        <w:rPr>
          <w:rFonts w:ascii="Arial" w:hAnsi="Arial" w:cs="Arial"/>
          <w:b/>
          <w:bCs/>
          <w:color w:val="000000"/>
          <w:vertAlign w:val="superscript"/>
        </w:rPr>
        <w:t>rd</w:t>
      </w:r>
      <w:r w:rsidR="00A2781A">
        <w:rPr>
          <w:rFonts w:ascii="Arial" w:hAnsi="Arial" w:cs="Arial"/>
          <w:b/>
          <w:bCs/>
          <w:color w:val="000000"/>
        </w:rPr>
        <w:t xml:space="preserve"> November 2025</w:t>
      </w:r>
    </w:p>
    <w:p w14:paraId="0B8A0144" w14:textId="77777777" w:rsidR="00F46912" w:rsidRDefault="00F46912" w:rsidP="00697FCA">
      <w:pPr>
        <w:pStyle w:val="xmsonormal"/>
        <w:rPr>
          <w:rFonts w:ascii="Arial" w:hAnsi="Arial" w:cs="Arial"/>
          <w:color w:val="000000"/>
        </w:rPr>
      </w:pPr>
    </w:p>
    <w:p w14:paraId="75EA730D" w14:textId="14FEC186" w:rsidR="00F46912" w:rsidRDefault="00142E2E" w:rsidP="00697FCA">
      <w:pPr>
        <w:pStyle w:val="xmsonormal"/>
        <w:rPr>
          <w:rFonts w:ascii="Arial" w:hAnsi="Arial" w:cs="Arial"/>
          <w:b/>
          <w:bCs/>
          <w:color w:val="000000"/>
        </w:rPr>
      </w:pPr>
      <w:r w:rsidRPr="00F46912">
        <w:rPr>
          <w:rFonts w:ascii="Arial" w:hAnsi="Arial" w:cs="Arial"/>
          <w:color w:val="000000"/>
        </w:rPr>
        <w:t xml:space="preserve">Under </w:t>
      </w:r>
      <w:r w:rsidR="004A7A2F" w:rsidRPr="00F46912">
        <w:rPr>
          <w:rFonts w:ascii="Arial" w:hAnsi="Arial" w:cs="Arial"/>
          <w:color w:val="000000"/>
        </w:rPr>
        <w:t xml:space="preserve">Section </w:t>
      </w:r>
      <w:r w:rsidR="00697FCA" w:rsidRPr="00F46912">
        <w:rPr>
          <w:rFonts w:ascii="Arial" w:hAnsi="Arial" w:cs="Arial"/>
          <w:color w:val="000000"/>
        </w:rPr>
        <w:t>137(4)(a) of the Local Government Act 1972</w:t>
      </w:r>
      <w:r w:rsidRPr="00F46912">
        <w:rPr>
          <w:rFonts w:ascii="Arial" w:hAnsi="Arial" w:cs="Arial"/>
          <w:color w:val="000000"/>
        </w:rPr>
        <w:t xml:space="preserve"> t</w:t>
      </w:r>
      <w:r w:rsidR="00697FCA" w:rsidRPr="00F46912">
        <w:rPr>
          <w:rFonts w:ascii="Arial" w:hAnsi="Arial" w:cs="Arial"/>
          <w:color w:val="000000"/>
        </w:rPr>
        <w:t xml:space="preserve">he maximum amount that </w:t>
      </w:r>
      <w:r w:rsidR="00356E63">
        <w:rPr>
          <w:rFonts w:ascii="Arial" w:hAnsi="Arial" w:cs="Arial"/>
          <w:color w:val="000000"/>
        </w:rPr>
        <w:t xml:space="preserve">APC </w:t>
      </w:r>
      <w:r w:rsidR="00697FCA" w:rsidRPr="00F46912">
        <w:rPr>
          <w:rFonts w:ascii="Arial" w:hAnsi="Arial" w:cs="Arial"/>
          <w:color w:val="000000"/>
        </w:rPr>
        <w:t xml:space="preserve"> can give </w:t>
      </w:r>
      <w:r w:rsidR="00F46912">
        <w:rPr>
          <w:rFonts w:ascii="Arial" w:hAnsi="Arial" w:cs="Arial"/>
          <w:color w:val="000000"/>
        </w:rPr>
        <w:t xml:space="preserve">in grants </w:t>
      </w:r>
      <w:r w:rsidR="00697FCA" w:rsidRPr="00F46912">
        <w:rPr>
          <w:rFonts w:ascii="Arial" w:hAnsi="Arial" w:cs="Arial"/>
          <w:color w:val="000000"/>
        </w:rPr>
        <w:t xml:space="preserve">is </w:t>
      </w:r>
      <w:r w:rsidR="00697FCA" w:rsidRPr="00F46912">
        <w:rPr>
          <w:rFonts w:ascii="Arial" w:hAnsi="Arial" w:cs="Arial"/>
        </w:rPr>
        <w:t>£</w:t>
      </w:r>
      <w:r w:rsidR="000850D6">
        <w:rPr>
          <w:rFonts w:ascii="Arial" w:hAnsi="Arial" w:cs="Arial"/>
        </w:rPr>
        <w:t>1</w:t>
      </w:r>
      <w:r w:rsidR="00A2781A">
        <w:rPr>
          <w:rFonts w:ascii="Arial" w:hAnsi="Arial" w:cs="Arial"/>
        </w:rPr>
        <w:t>1.10</w:t>
      </w:r>
      <w:r w:rsidR="00697FCA" w:rsidRPr="00F46912">
        <w:rPr>
          <w:rFonts w:ascii="Arial" w:hAnsi="Arial" w:cs="Arial"/>
          <w:color w:val="000000"/>
        </w:rPr>
        <w:t xml:space="preserve"> (202</w:t>
      </w:r>
      <w:r w:rsidR="00A2781A">
        <w:rPr>
          <w:rFonts w:ascii="Arial" w:hAnsi="Arial" w:cs="Arial"/>
          <w:color w:val="000000"/>
        </w:rPr>
        <w:t>5</w:t>
      </w:r>
      <w:r w:rsidR="000850D6">
        <w:rPr>
          <w:rFonts w:ascii="Arial" w:hAnsi="Arial" w:cs="Arial"/>
          <w:color w:val="000000"/>
        </w:rPr>
        <w:t>/2</w:t>
      </w:r>
      <w:r w:rsidR="00A2781A">
        <w:rPr>
          <w:rFonts w:ascii="Arial" w:hAnsi="Arial" w:cs="Arial"/>
          <w:color w:val="000000"/>
        </w:rPr>
        <w:t>6</w:t>
      </w:r>
      <w:r w:rsidR="00697FCA" w:rsidRPr="00F46912">
        <w:rPr>
          <w:rFonts w:ascii="Arial" w:hAnsi="Arial" w:cs="Arial"/>
          <w:color w:val="000000"/>
        </w:rPr>
        <w:t xml:space="preserve"> rate) x </w:t>
      </w:r>
      <w:r w:rsidR="004140B8">
        <w:rPr>
          <w:rFonts w:ascii="Arial" w:hAnsi="Arial" w:cs="Arial"/>
          <w:color w:val="000000"/>
        </w:rPr>
        <w:t>7</w:t>
      </w:r>
      <w:r w:rsidR="00046A38">
        <w:rPr>
          <w:rFonts w:ascii="Arial" w:hAnsi="Arial" w:cs="Arial"/>
          <w:color w:val="000000"/>
        </w:rPr>
        <w:t>23</w:t>
      </w:r>
      <w:r w:rsidR="00697FCA" w:rsidRPr="00F46912">
        <w:rPr>
          <w:rFonts w:ascii="Arial" w:hAnsi="Arial" w:cs="Arial"/>
          <w:color w:val="000000"/>
        </w:rPr>
        <w:t xml:space="preserve"> which is the number of electors in the parish (</w:t>
      </w:r>
      <w:r w:rsidR="007D34D1">
        <w:rPr>
          <w:rFonts w:ascii="Arial" w:hAnsi="Arial" w:cs="Arial"/>
          <w:color w:val="000000"/>
        </w:rPr>
        <w:t>as of 1</w:t>
      </w:r>
      <w:r w:rsidR="007D34D1" w:rsidRPr="007D34D1">
        <w:rPr>
          <w:rFonts w:ascii="Arial" w:hAnsi="Arial" w:cs="Arial"/>
          <w:color w:val="000000"/>
          <w:vertAlign w:val="superscript"/>
        </w:rPr>
        <w:t>st</w:t>
      </w:r>
      <w:r w:rsidR="007D34D1">
        <w:rPr>
          <w:rFonts w:ascii="Arial" w:hAnsi="Arial" w:cs="Arial"/>
          <w:color w:val="000000"/>
        </w:rPr>
        <w:t xml:space="preserve"> </w:t>
      </w:r>
      <w:r w:rsidR="00570B95">
        <w:rPr>
          <w:rFonts w:ascii="Arial" w:hAnsi="Arial" w:cs="Arial"/>
          <w:color w:val="000000"/>
        </w:rPr>
        <w:t>October 2025</w:t>
      </w:r>
      <w:r w:rsidR="00697FCA" w:rsidRPr="00F46912">
        <w:rPr>
          <w:rFonts w:ascii="Arial" w:hAnsi="Arial" w:cs="Arial"/>
          <w:color w:val="000000"/>
        </w:rPr>
        <w:t>)</w:t>
      </w:r>
      <w:r w:rsidRPr="00F46912">
        <w:rPr>
          <w:rFonts w:ascii="Arial" w:hAnsi="Arial" w:cs="Arial"/>
          <w:color w:val="000000"/>
        </w:rPr>
        <w:t xml:space="preserve"> = </w:t>
      </w:r>
      <w:r w:rsidR="00697FCA" w:rsidRPr="00F46912">
        <w:rPr>
          <w:rFonts w:ascii="Arial" w:hAnsi="Arial" w:cs="Arial"/>
          <w:b/>
          <w:bCs/>
          <w:color w:val="000000"/>
        </w:rPr>
        <w:t>£</w:t>
      </w:r>
      <w:r w:rsidR="00046A38">
        <w:rPr>
          <w:rFonts w:ascii="Arial" w:hAnsi="Arial" w:cs="Arial"/>
          <w:b/>
          <w:bCs/>
          <w:color w:val="000000"/>
        </w:rPr>
        <w:t>8,0</w:t>
      </w:r>
      <w:r w:rsidR="001813C7">
        <w:rPr>
          <w:rFonts w:ascii="Arial" w:hAnsi="Arial" w:cs="Arial"/>
          <w:b/>
          <w:bCs/>
          <w:color w:val="000000"/>
        </w:rPr>
        <w:t>25.30</w:t>
      </w:r>
    </w:p>
    <w:p w14:paraId="57A53D00" w14:textId="77777777" w:rsidR="00EE3905" w:rsidRDefault="00EE3905" w:rsidP="00697FCA">
      <w:pPr>
        <w:pStyle w:val="xmsonormal"/>
        <w:rPr>
          <w:rFonts w:ascii="Arial" w:hAnsi="Arial" w:cs="Arial"/>
          <w:b/>
          <w:bCs/>
          <w:color w:val="000000"/>
        </w:rPr>
      </w:pPr>
    </w:p>
    <w:p w14:paraId="2023CF3E" w14:textId="77777777" w:rsidR="00F46912" w:rsidRDefault="00F46912" w:rsidP="00697FCA">
      <w:pPr>
        <w:pStyle w:val="xmsonormal"/>
        <w:rPr>
          <w:rFonts w:ascii="Arial" w:hAnsi="Arial" w:cs="Arial"/>
          <w:color w:val="000000"/>
        </w:rPr>
      </w:pPr>
    </w:p>
    <w:p w14:paraId="25D7656E" w14:textId="35CF8B3C" w:rsidR="00F46912" w:rsidRDefault="00F46912" w:rsidP="00697FCA">
      <w:pPr>
        <w:pStyle w:val="xmsonormal"/>
        <w:rPr>
          <w:rFonts w:ascii="Arial" w:hAnsi="Arial" w:cs="Arial"/>
          <w:color w:val="000000"/>
        </w:rPr>
      </w:pPr>
      <w:r>
        <w:rPr>
          <w:rFonts w:ascii="Arial" w:hAnsi="Arial" w:cs="Arial"/>
          <w:color w:val="000000"/>
        </w:rPr>
        <w:t>Section 137 is only available where no other power exists.</w:t>
      </w:r>
      <w:r w:rsidR="001813C7">
        <w:rPr>
          <w:rFonts w:ascii="Arial" w:hAnsi="Arial" w:cs="Arial"/>
          <w:color w:val="000000"/>
        </w:rPr>
        <w:t xml:space="preserve"> </w:t>
      </w:r>
    </w:p>
    <w:p w14:paraId="65AADD72" w14:textId="77777777" w:rsidR="00F46912" w:rsidRDefault="00F46912" w:rsidP="00697FCA">
      <w:pPr>
        <w:pStyle w:val="xmsonormal"/>
        <w:rPr>
          <w:rFonts w:ascii="Arial" w:hAnsi="Arial" w:cs="Arial"/>
          <w:color w:val="000000"/>
        </w:rPr>
      </w:pPr>
    </w:p>
    <w:p w14:paraId="52956F2B" w14:textId="77777777" w:rsidR="00994574" w:rsidRDefault="00697FCA" w:rsidP="00697FCA">
      <w:pPr>
        <w:pStyle w:val="xmsonormal"/>
        <w:rPr>
          <w:rFonts w:ascii="Arial" w:hAnsi="Arial" w:cs="Arial"/>
          <w:color w:val="000000"/>
        </w:rPr>
      </w:pPr>
      <w:r w:rsidRPr="00F46912">
        <w:rPr>
          <w:rFonts w:ascii="Arial" w:hAnsi="Arial" w:cs="Arial"/>
          <w:color w:val="000000"/>
        </w:rPr>
        <w:t>The APC</w:t>
      </w:r>
      <w:r w:rsidR="004A7A2F" w:rsidRPr="00F46912">
        <w:rPr>
          <w:rFonts w:ascii="Arial" w:hAnsi="Arial" w:cs="Arial"/>
          <w:color w:val="000000"/>
        </w:rPr>
        <w:t>’s</w:t>
      </w:r>
      <w:r w:rsidRPr="00F46912">
        <w:rPr>
          <w:rFonts w:ascii="Arial" w:hAnsi="Arial" w:cs="Arial"/>
          <w:color w:val="000000"/>
        </w:rPr>
        <w:t xml:space="preserve"> allocated budget for this financial year is</w:t>
      </w:r>
      <w:r w:rsidR="00994574">
        <w:rPr>
          <w:rFonts w:ascii="Arial" w:hAnsi="Arial" w:cs="Arial"/>
          <w:color w:val="000000"/>
        </w:rPr>
        <w:t>:</w:t>
      </w:r>
    </w:p>
    <w:p w14:paraId="4C138950" w14:textId="77777777" w:rsidR="00994574" w:rsidRPr="00EE3905" w:rsidRDefault="00994574" w:rsidP="00697FCA">
      <w:pPr>
        <w:pStyle w:val="xmsonormal"/>
        <w:rPr>
          <w:rFonts w:ascii="Arial" w:hAnsi="Arial" w:cs="Arial"/>
          <w:b/>
          <w:bCs/>
          <w:color w:val="000000"/>
        </w:rPr>
      </w:pPr>
    </w:p>
    <w:p w14:paraId="1D232522" w14:textId="2897F806" w:rsidR="00994574" w:rsidRDefault="00994574" w:rsidP="00E84B59">
      <w:pPr>
        <w:pStyle w:val="xmsonormal"/>
        <w:numPr>
          <w:ilvl w:val="0"/>
          <w:numId w:val="4"/>
        </w:numPr>
        <w:rPr>
          <w:rFonts w:ascii="Arial" w:hAnsi="Arial" w:cs="Arial"/>
          <w:b/>
          <w:bCs/>
          <w:color w:val="000000"/>
        </w:rPr>
      </w:pPr>
      <w:r w:rsidRPr="00EE3905">
        <w:rPr>
          <w:rFonts w:ascii="Arial" w:hAnsi="Arial" w:cs="Arial"/>
          <w:b/>
          <w:bCs/>
          <w:color w:val="000000"/>
        </w:rPr>
        <w:t>£700 to community groups applying under s137</w:t>
      </w:r>
      <w:r w:rsidR="000C3139">
        <w:rPr>
          <w:rFonts w:ascii="Arial" w:hAnsi="Arial" w:cs="Arial"/>
          <w:b/>
          <w:bCs/>
          <w:color w:val="000000"/>
        </w:rPr>
        <w:t xml:space="preserve"> </w:t>
      </w:r>
    </w:p>
    <w:p w14:paraId="6E22CDA1" w14:textId="77777777" w:rsidR="00E84B59" w:rsidRPr="00EE3905" w:rsidRDefault="00E84B59" w:rsidP="00E84B59">
      <w:pPr>
        <w:pStyle w:val="xmsonormal"/>
        <w:ind w:left="720"/>
        <w:rPr>
          <w:rFonts w:ascii="Arial" w:hAnsi="Arial" w:cs="Arial"/>
          <w:b/>
          <w:bCs/>
          <w:color w:val="000000"/>
        </w:rPr>
      </w:pPr>
    </w:p>
    <w:p w14:paraId="711E316F" w14:textId="24A58AF7" w:rsidR="00EE3905" w:rsidRDefault="00994574" w:rsidP="00E84B59">
      <w:pPr>
        <w:pStyle w:val="xmsonormal"/>
        <w:numPr>
          <w:ilvl w:val="0"/>
          <w:numId w:val="4"/>
        </w:numPr>
        <w:rPr>
          <w:rFonts w:ascii="Arial" w:hAnsi="Arial" w:cs="Arial"/>
          <w:b/>
          <w:bCs/>
          <w:color w:val="000000"/>
        </w:rPr>
      </w:pPr>
      <w:r w:rsidRPr="00EE3905">
        <w:rPr>
          <w:rFonts w:ascii="Arial" w:hAnsi="Arial" w:cs="Arial"/>
          <w:b/>
          <w:bCs/>
          <w:color w:val="000000"/>
        </w:rPr>
        <w:t xml:space="preserve">£1,800 to </w:t>
      </w:r>
      <w:r w:rsidR="00EE3905" w:rsidRPr="00EE3905">
        <w:rPr>
          <w:rFonts w:ascii="Arial" w:hAnsi="Arial" w:cs="Arial"/>
          <w:b/>
          <w:bCs/>
          <w:color w:val="000000"/>
        </w:rPr>
        <w:t>parish hall committees applying under s133</w:t>
      </w:r>
    </w:p>
    <w:p w14:paraId="13950094" w14:textId="77777777" w:rsidR="00E84B59" w:rsidRPr="00EE3905" w:rsidRDefault="00E84B59" w:rsidP="00E84B59">
      <w:pPr>
        <w:pStyle w:val="xmsonormal"/>
        <w:rPr>
          <w:rFonts w:ascii="Arial" w:hAnsi="Arial" w:cs="Arial"/>
          <w:b/>
          <w:bCs/>
          <w:color w:val="000000"/>
        </w:rPr>
      </w:pPr>
    </w:p>
    <w:p w14:paraId="43092554" w14:textId="71AD1B6E" w:rsidR="00697FCA" w:rsidRPr="00EE3905" w:rsidRDefault="00697FCA" w:rsidP="00E84B59">
      <w:pPr>
        <w:pStyle w:val="xmsonormal"/>
        <w:numPr>
          <w:ilvl w:val="0"/>
          <w:numId w:val="4"/>
        </w:numPr>
        <w:rPr>
          <w:rFonts w:ascii="Arial" w:hAnsi="Arial" w:cs="Arial"/>
          <w:b/>
          <w:bCs/>
          <w:color w:val="000000"/>
        </w:rPr>
      </w:pPr>
      <w:r w:rsidRPr="00EE3905">
        <w:rPr>
          <w:rFonts w:ascii="Arial" w:hAnsi="Arial" w:cs="Arial"/>
          <w:b/>
          <w:bCs/>
          <w:color w:val="000000"/>
        </w:rPr>
        <w:t>£</w:t>
      </w:r>
      <w:r w:rsidR="00047599">
        <w:rPr>
          <w:rFonts w:ascii="Arial" w:hAnsi="Arial" w:cs="Arial"/>
          <w:b/>
          <w:bCs/>
          <w:color w:val="000000"/>
        </w:rPr>
        <w:t>600</w:t>
      </w:r>
      <w:r w:rsidRPr="00EE3905">
        <w:rPr>
          <w:rFonts w:ascii="Arial" w:hAnsi="Arial" w:cs="Arial"/>
          <w:b/>
          <w:bCs/>
          <w:color w:val="000000"/>
        </w:rPr>
        <w:t xml:space="preserve"> towards the upkeep of the Churchyard</w:t>
      </w:r>
    </w:p>
    <w:p w14:paraId="5768A144" w14:textId="77777777" w:rsidR="00F46912" w:rsidRDefault="00F46912" w:rsidP="00697FCA">
      <w:pPr>
        <w:pStyle w:val="xmsonormal"/>
        <w:rPr>
          <w:rFonts w:ascii="Arial" w:hAnsi="Arial" w:cs="Arial"/>
          <w:color w:val="000000"/>
        </w:rPr>
      </w:pPr>
    </w:p>
    <w:p w14:paraId="141B7B27" w14:textId="77777777" w:rsidR="00EE6E4A" w:rsidRPr="00207350" w:rsidRDefault="00EE6E4A" w:rsidP="00697FCA">
      <w:pPr>
        <w:spacing w:line="252" w:lineRule="auto"/>
        <w:rPr>
          <w:rFonts w:ascii="Arial" w:hAnsi="Arial" w:cs="Arial"/>
        </w:rPr>
      </w:pPr>
    </w:p>
    <w:p w14:paraId="0B734BC5" w14:textId="7A697A2D" w:rsidR="00EE6E4A" w:rsidRPr="00207350" w:rsidRDefault="00EE6E4A" w:rsidP="00697FCA">
      <w:pPr>
        <w:spacing w:line="252" w:lineRule="auto"/>
        <w:rPr>
          <w:rFonts w:ascii="Arial" w:hAnsi="Arial" w:cs="Arial"/>
        </w:rPr>
      </w:pPr>
      <w:r w:rsidRPr="00207350">
        <w:rPr>
          <w:rFonts w:ascii="Arial" w:hAnsi="Arial" w:cs="Arial"/>
        </w:rPr>
        <w:t xml:space="preserve">Section 133 of the Local Government Act 1972 </w:t>
      </w:r>
      <w:r w:rsidR="00C769D0" w:rsidRPr="00207350">
        <w:rPr>
          <w:rFonts w:ascii="Arial" w:hAnsi="Arial" w:cs="Arial"/>
        </w:rPr>
        <w:t>permits a Parish Council to make grants to third parties in respect of community buildings such as village halls</w:t>
      </w:r>
      <w:r w:rsidR="00142E2E" w:rsidRPr="00207350">
        <w:rPr>
          <w:rFonts w:ascii="Arial" w:hAnsi="Arial" w:cs="Arial"/>
        </w:rPr>
        <w:t>:</w:t>
      </w:r>
    </w:p>
    <w:p w14:paraId="44BD692D" w14:textId="692AADB2" w:rsidR="00142E2E" w:rsidRPr="00207350" w:rsidRDefault="00C769D0" w:rsidP="00697FCA">
      <w:pPr>
        <w:spacing w:line="252" w:lineRule="auto"/>
        <w:rPr>
          <w:rFonts w:ascii="Arial" w:hAnsi="Arial" w:cs="Arial"/>
        </w:rPr>
      </w:pPr>
      <w:r w:rsidRPr="00207350">
        <w:rPr>
          <w:rFonts w:ascii="Arial" w:hAnsi="Arial" w:cs="Arial"/>
        </w:rPr>
        <w:t>‘</w:t>
      </w:r>
      <w:r w:rsidR="00142E2E" w:rsidRPr="00207350">
        <w:rPr>
          <w:rFonts w:ascii="Arial" w:hAnsi="Arial" w:cs="Arial"/>
        </w:rPr>
        <w:t>Provision of parish and community buildings</w:t>
      </w:r>
    </w:p>
    <w:p w14:paraId="091C962A" w14:textId="77777777" w:rsidR="00F46912" w:rsidRPr="00207350" w:rsidRDefault="00142E2E" w:rsidP="00697FCA">
      <w:pPr>
        <w:spacing w:line="252" w:lineRule="auto"/>
        <w:rPr>
          <w:rFonts w:ascii="Arial" w:hAnsi="Arial" w:cs="Arial"/>
        </w:rPr>
      </w:pPr>
      <w:r w:rsidRPr="00207350">
        <w:rPr>
          <w:rFonts w:ascii="Arial" w:hAnsi="Arial" w:cs="Arial"/>
        </w:rPr>
        <w:t>A parish or community council may acquire or provide and furnish buildings to be used for public meetings and assemblies or contribute towards the expenses incurred by any other parish or community council or any other person in acquiring or providing and furnishing such a building</w:t>
      </w:r>
      <w:r w:rsidR="00C769D0" w:rsidRPr="00207350">
        <w:rPr>
          <w:rFonts w:ascii="Arial" w:hAnsi="Arial" w:cs="Arial"/>
        </w:rPr>
        <w:t>’</w:t>
      </w:r>
      <w:r w:rsidRPr="00207350">
        <w:rPr>
          <w:rFonts w:ascii="Arial" w:hAnsi="Arial" w:cs="Arial"/>
        </w:rPr>
        <w:t>.</w:t>
      </w:r>
    </w:p>
    <w:p w14:paraId="07BA77AD" w14:textId="177994AB" w:rsidR="00142E2E" w:rsidRPr="00207350" w:rsidRDefault="00F46912" w:rsidP="00697FCA">
      <w:pPr>
        <w:spacing w:line="252" w:lineRule="auto"/>
        <w:rPr>
          <w:rFonts w:ascii="Arial" w:hAnsi="Arial" w:cs="Arial"/>
        </w:rPr>
      </w:pPr>
      <w:r w:rsidRPr="00207350">
        <w:rPr>
          <w:rFonts w:ascii="Arial" w:hAnsi="Arial" w:cs="Arial"/>
        </w:rPr>
        <w:t>Therefore,</w:t>
      </w:r>
      <w:r w:rsidR="00C769D0" w:rsidRPr="00207350">
        <w:rPr>
          <w:rFonts w:ascii="Arial" w:hAnsi="Arial" w:cs="Arial"/>
        </w:rPr>
        <w:t xml:space="preserve"> the Council cannot use section 137 of the LGA 1972 for all grants and must consider using </w:t>
      </w:r>
      <w:r w:rsidRPr="00207350">
        <w:rPr>
          <w:rFonts w:ascii="Arial" w:hAnsi="Arial" w:cs="Arial"/>
        </w:rPr>
        <w:t>other</w:t>
      </w:r>
      <w:r w:rsidR="00C769D0" w:rsidRPr="00207350">
        <w:rPr>
          <w:rFonts w:ascii="Arial" w:hAnsi="Arial" w:cs="Arial"/>
        </w:rPr>
        <w:t xml:space="preserve"> relevant power</w:t>
      </w:r>
      <w:r w:rsidRPr="00207350">
        <w:rPr>
          <w:rFonts w:ascii="Arial" w:hAnsi="Arial" w:cs="Arial"/>
        </w:rPr>
        <w:t>s</w:t>
      </w:r>
      <w:r w:rsidR="00C769D0" w:rsidRPr="00207350">
        <w:rPr>
          <w:rFonts w:ascii="Arial" w:hAnsi="Arial" w:cs="Arial"/>
        </w:rPr>
        <w:t xml:space="preserve"> to spend when making grants </w:t>
      </w:r>
      <w:r w:rsidRPr="00207350">
        <w:rPr>
          <w:rFonts w:ascii="Arial" w:hAnsi="Arial" w:cs="Arial"/>
        </w:rPr>
        <w:t xml:space="preserve">such as the ones </w:t>
      </w:r>
      <w:r w:rsidR="00C769D0" w:rsidRPr="00207350">
        <w:rPr>
          <w:rFonts w:ascii="Arial" w:hAnsi="Arial" w:cs="Arial"/>
        </w:rPr>
        <w:t xml:space="preserve">towards the upkeep of village/community halls. </w:t>
      </w:r>
    </w:p>
    <w:p w14:paraId="6CDE17A9" w14:textId="77777777" w:rsidR="00244F4D" w:rsidRPr="00207350" w:rsidRDefault="00244F4D" w:rsidP="00207350">
      <w:pPr>
        <w:spacing w:line="252" w:lineRule="auto"/>
        <w:rPr>
          <w:rFonts w:ascii="Arial" w:hAnsi="Arial" w:cs="Arial"/>
          <w:b/>
          <w:bCs/>
          <w:lang w:val="en-GB"/>
        </w:rPr>
      </w:pPr>
    </w:p>
    <w:p w14:paraId="2B36A6F2" w14:textId="77777777" w:rsidR="009F5172" w:rsidRPr="00F46912" w:rsidRDefault="009F5172" w:rsidP="002C73C1">
      <w:pPr>
        <w:pBdr>
          <w:top w:val="single" w:sz="4" w:space="1" w:color="auto"/>
        </w:pBdr>
        <w:spacing w:line="252" w:lineRule="auto"/>
        <w:rPr>
          <w:rFonts w:ascii="Arial" w:hAnsi="Arial" w:cs="Arial"/>
        </w:rPr>
      </w:pPr>
    </w:p>
    <w:p w14:paraId="46E13510" w14:textId="578F371A" w:rsidR="004A7A2F" w:rsidRPr="00F46912" w:rsidRDefault="00756B09" w:rsidP="00697FCA">
      <w:pPr>
        <w:spacing w:line="252" w:lineRule="auto"/>
        <w:rPr>
          <w:rFonts w:ascii="Arial" w:hAnsi="Arial" w:cs="Arial"/>
        </w:rPr>
      </w:pPr>
      <w:r>
        <w:rPr>
          <w:rFonts w:ascii="Arial" w:hAnsi="Arial" w:cs="Arial"/>
        </w:rPr>
        <w:t>In October t</w:t>
      </w:r>
      <w:r w:rsidR="00400979" w:rsidRPr="00F46912">
        <w:rPr>
          <w:rFonts w:ascii="Arial" w:hAnsi="Arial" w:cs="Arial"/>
        </w:rPr>
        <w:t xml:space="preserve">he </w:t>
      </w:r>
      <w:r w:rsidR="004A7A2F" w:rsidRPr="00F46912">
        <w:rPr>
          <w:rFonts w:ascii="Arial" w:hAnsi="Arial" w:cs="Arial"/>
        </w:rPr>
        <w:t xml:space="preserve">Clerk </w:t>
      </w:r>
      <w:r w:rsidR="00047599" w:rsidRPr="00F46912">
        <w:rPr>
          <w:rFonts w:ascii="Arial" w:hAnsi="Arial" w:cs="Arial"/>
        </w:rPr>
        <w:t>got</w:t>
      </w:r>
      <w:r w:rsidR="004A7A2F" w:rsidRPr="00F46912">
        <w:rPr>
          <w:rFonts w:ascii="Arial" w:hAnsi="Arial" w:cs="Arial"/>
        </w:rPr>
        <w:t xml:space="preserve"> in touch with the following organisations</w:t>
      </w:r>
      <w:r w:rsidR="00C769D0" w:rsidRPr="00F46912">
        <w:rPr>
          <w:rFonts w:ascii="Arial" w:hAnsi="Arial" w:cs="Arial"/>
        </w:rPr>
        <w:t xml:space="preserve"> and so </w:t>
      </w:r>
      <w:r w:rsidR="00F46912" w:rsidRPr="00F46912">
        <w:rPr>
          <w:rFonts w:ascii="Arial" w:hAnsi="Arial" w:cs="Arial"/>
        </w:rPr>
        <w:t>far,</w:t>
      </w:r>
      <w:r w:rsidR="00C769D0" w:rsidRPr="00F46912">
        <w:rPr>
          <w:rFonts w:ascii="Arial" w:hAnsi="Arial" w:cs="Arial"/>
        </w:rPr>
        <w:t xml:space="preserve"> received </w:t>
      </w:r>
      <w:r w:rsidR="005478D6">
        <w:rPr>
          <w:rFonts w:ascii="Arial" w:hAnsi="Arial" w:cs="Arial"/>
        </w:rPr>
        <w:t xml:space="preserve">3 </w:t>
      </w:r>
      <w:r w:rsidR="00C769D0" w:rsidRPr="00F46912">
        <w:rPr>
          <w:rFonts w:ascii="Arial" w:hAnsi="Arial" w:cs="Arial"/>
        </w:rPr>
        <w:t>applications</w:t>
      </w:r>
      <w:r w:rsidR="005478D6">
        <w:rPr>
          <w:rFonts w:ascii="Arial" w:hAnsi="Arial" w:cs="Arial"/>
        </w:rPr>
        <w:t>/ requests</w:t>
      </w:r>
      <w:r w:rsidR="00C769D0" w:rsidRPr="00F46912">
        <w:rPr>
          <w:rFonts w:ascii="Arial" w:hAnsi="Arial" w:cs="Arial"/>
        </w:rPr>
        <w:t xml:space="preserve"> back</w:t>
      </w:r>
      <w:r w:rsidR="002C73C1">
        <w:rPr>
          <w:rFonts w:ascii="Arial" w:hAnsi="Arial" w:cs="Arial"/>
        </w:rPr>
        <w:t xml:space="preserve">: </w:t>
      </w:r>
    </w:p>
    <w:p w14:paraId="1C0AAFE7" w14:textId="3660BFF9" w:rsidR="000C3139" w:rsidRPr="00052F8F" w:rsidRDefault="00DD65BC" w:rsidP="00052F8F">
      <w:pPr>
        <w:pStyle w:val="ListParagraph"/>
        <w:numPr>
          <w:ilvl w:val="0"/>
          <w:numId w:val="3"/>
        </w:numPr>
        <w:spacing w:after="0" w:line="240" w:lineRule="auto"/>
        <w:rPr>
          <w:rFonts w:ascii="Arial" w:hAnsi="Arial" w:cs="Arial"/>
        </w:rPr>
      </w:pPr>
      <w:r w:rsidRPr="00F46912">
        <w:rPr>
          <w:rFonts w:ascii="Arial" w:hAnsi="Arial" w:cs="Arial"/>
          <w:b/>
          <w:bCs/>
        </w:rPr>
        <w:t xml:space="preserve">Tring Station Residents Association </w:t>
      </w:r>
      <w:r w:rsidR="00400979" w:rsidRPr="00F46912">
        <w:rPr>
          <w:rFonts w:ascii="Arial" w:hAnsi="Arial" w:cs="Arial"/>
          <w:b/>
          <w:bCs/>
        </w:rPr>
        <w:t>- applied</w:t>
      </w:r>
      <w:r w:rsidR="004A7A2F" w:rsidRPr="00F46912">
        <w:rPr>
          <w:rFonts w:ascii="Arial" w:hAnsi="Arial" w:cs="Arial"/>
          <w:b/>
          <w:bCs/>
        </w:rPr>
        <w:t xml:space="preserve"> for </w:t>
      </w:r>
      <w:r w:rsidRPr="00F46912">
        <w:rPr>
          <w:rFonts w:ascii="Arial" w:hAnsi="Arial" w:cs="Arial"/>
          <w:b/>
          <w:bCs/>
        </w:rPr>
        <w:t>£400 towards the</w:t>
      </w:r>
      <w:r w:rsidR="006A1A2A">
        <w:rPr>
          <w:rFonts w:ascii="Arial" w:hAnsi="Arial" w:cs="Arial"/>
          <w:b/>
          <w:bCs/>
        </w:rPr>
        <w:t xml:space="preserve"> upkeep of the</w:t>
      </w:r>
      <w:r w:rsidRPr="00F46912">
        <w:rPr>
          <w:rFonts w:ascii="Arial" w:hAnsi="Arial" w:cs="Arial"/>
          <w:b/>
          <w:bCs/>
        </w:rPr>
        <w:t xml:space="preserve"> Iron Room</w:t>
      </w:r>
      <w:r w:rsidRPr="00F46912">
        <w:rPr>
          <w:rFonts w:ascii="Arial" w:hAnsi="Arial" w:cs="Arial"/>
        </w:rPr>
        <w:t xml:space="preserve"> </w:t>
      </w:r>
      <w:r w:rsidR="00B90305" w:rsidRPr="00B90305">
        <w:rPr>
          <w:rFonts w:ascii="Arial" w:hAnsi="Arial" w:cs="Arial"/>
          <w:b/>
          <w:bCs/>
        </w:rPr>
        <w:t xml:space="preserve">Hall </w:t>
      </w:r>
      <w:r w:rsidR="00B90305">
        <w:rPr>
          <w:rFonts w:ascii="Arial" w:hAnsi="Arial" w:cs="Arial"/>
        </w:rPr>
        <w:t xml:space="preserve">– </w:t>
      </w:r>
      <w:r w:rsidR="00AD1FA5">
        <w:rPr>
          <w:rFonts w:ascii="Arial" w:hAnsi="Arial" w:cs="Arial"/>
        </w:rPr>
        <w:t>“</w:t>
      </w:r>
      <w:r w:rsidR="00AD1FA5" w:rsidRPr="00AD1FA5">
        <w:rPr>
          <w:rFonts w:ascii="Arial" w:hAnsi="Arial" w:cs="Arial"/>
        </w:rPr>
        <w:t>The grant would be used towards the ongoing upkeep of the Iron Room.  This year we have had the floor and skirting boards refurbished (repaired, sanded and varnished) and upgraded the lighting.</w:t>
      </w:r>
      <w:r w:rsidR="002378CD">
        <w:rPr>
          <w:rFonts w:ascii="Arial" w:hAnsi="Arial" w:cs="Arial"/>
        </w:rPr>
        <w:t>”</w:t>
      </w:r>
    </w:p>
    <w:p w14:paraId="7EC2BE92" w14:textId="77777777" w:rsidR="00400979" w:rsidRPr="00F46912" w:rsidRDefault="00400979" w:rsidP="00400979">
      <w:pPr>
        <w:pStyle w:val="ListParagraph"/>
        <w:spacing w:line="252" w:lineRule="auto"/>
        <w:rPr>
          <w:rFonts w:ascii="Arial" w:hAnsi="Arial" w:cs="Arial"/>
          <w:b/>
          <w:bCs/>
        </w:rPr>
      </w:pPr>
    </w:p>
    <w:p w14:paraId="31F4EB97" w14:textId="513B5F53" w:rsidR="00DD65BC" w:rsidRPr="00F46912" w:rsidRDefault="00DD65BC" w:rsidP="004A7A2F">
      <w:pPr>
        <w:pStyle w:val="ListParagraph"/>
        <w:numPr>
          <w:ilvl w:val="0"/>
          <w:numId w:val="3"/>
        </w:numPr>
        <w:spacing w:after="0" w:line="240" w:lineRule="auto"/>
        <w:rPr>
          <w:rFonts w:ascii="Arial" w:hAnsi="Arial" w:cs="Arial"/>
        </w:rPr>
      </w:pPr>
      <w:r w:rsidRPr="00F46912">
        <w:rPr>
          <w:rFonts w:ascii="Arial" w:hAnsi="Arial" w:cs="Arial"/>
          <w:b/>
          <w:bCs/>
        </w:rPr>
        <w:t xml:space="preserve">ALDBURY PEACE MEMORIAL INSTITUTE </w:t>
      </w:r>
      <w:r w:rsidR="004A7A2F" w:rsidRPr="00F46912">
        <w:rPr>
          <w:rFonts w:ascii="Arial" w:hAnsi="Arial" w:cs="Arial"/>
          <w:b/>
          <w:bCs/>
        </w:rPr>
        <w:t>–</w:t>
      </w:r>
      <w:r w:rsidRPr="00F46912">
        <w:rPr>
          <w:rFonts w:ascii="Arial" w:hAnsi="Arial" w:cs="Arial"/>
          <w:b/>
          <w:bCs/>
        </w:rPr>
        <w:t xml:space="preserve"> </w:t>
      </w:r>
      <w:r w:rsidR="003426BE" w:rsidRPr="003426BE">
        <w:rPr>
          <w:rFonts w:ascii="Arial" w:hAnsi="Arial" w:cs="Arial"/>
        </w:rPr>
        <w:t>application not yet returned</w:t>
      </w:r>
      <w:r w:rsidR="003426BE">
        <w:rPr>
          <w:rFonts w:ascii="Arial" w:hAnsi="Arial" w:cs="Arial"/>
          <w:b/>
          <w:bCs/>
        </w:rPr>
        <w:t xml:space="preserve"> </w:t>
      </w:r>
    </w:p>
    <w:p w14:paraId="337D4576" w14:textId="77777777" w:rsidR="00400979" w:rsidRPr="000675C0" w:rsidRDefault="00400979" w:rsidP="000675C0">
      <w:pPr>
        <w:spacing w:after="0" w:line="240" w:lineRule="auto"/>
        <w:rPr>
          <w:rFonts w:ascii="Arial" w:hAnsi="Arial" w:cs="Arial"/>
        </w:rPr>
      </w:pPr>
    </w:p>
    <w:p w14:paraId="7E666897" w14:textId="62353A21" w:rsidR="004A7A2F" w:rsidRPr="00F46912" w:rsidRDefault="004A7A2F" w:rsidP="004A7A2F">
      <w:pPr>
        <w:pStyle w:val="ListParagraph"/>
        <w:numPr>
          <w:ilvl w:val="0"/>
          <w:numId w:val="3"/>
        </w:numPr>
        <w:rPr>
          <w:rFonts w:ascii="Arial" w:eastAsia="Times New Roman" w:hAnsi="Arial" w:cs="Arial"/>
          <w:b/>
          <w:bCs/>
          <w:i/>
          <w:iCs/>
        </w:rPr>
      </w:pPr>
      <w:r w:rsidRPr="00F46912">
        <w:rPr>
          <w:rFonts w:ascii="Arial" w:hAnsi="Arial" w:cs="Arial"/>
          <w:b/>
          <w:bCs/>
        </w:rPr>
        <w:t>Baby and Toddler Group</w:t>
      </w:r>
      <w:r w:rsidRPr="00F46912">
        <w:rPr>
          <w:rFonts w:ascii="Arial" w:hAnsi="Arial" w:cs="Arial"/>
        </w:rPr>
        <w:t xml:space="preserve"> </w:t>
      </w:r>
      <w:r w:rsidR="00F46912" w:rsidRPr="00F46912">
        <w:rPr>
          <w:rFonts w:ascii="Arial" w:hAnsi="Arial" w:cs="Arial"/>
        </w:rPr>
        <w:t xml:space="preserve">– </w:t>
      </w:r>
      <w:r w:rsidR="003426BE">
        <w:rPr>
          <w:rFonts w:ascii="Arial" w:hAnsi="Arial" w:cs="Arial"/>
        </w:rPr>
        <w:t xml:space="preserve">application not yet returned </w:t>
      </w:r>
    </w:p>
    <w:p w14:paraId="452CF662" w14:textId="77777777" w:rsidR="00400979" w:rsidRPr="00F46912" w:rsidRDefault="00400979" w:rsidP="00400979">
      <w:pPr>
        <w:pStyle w:val="ListParagraph"/>
        <w:ind w:left="644"/>
        <w:rPr>
          <w:rFonts w:ascii="Arial" w:eastAsia="Times New Roman" w:hAnsi="Arial" w:cs="Arial"/>
          <w:b/>
          <w:bCs/>
          <w:i/>
          <w:iCs/>
        </w:rPr>
      </w:pPr>
    </w:p>
    <w:p w14:paraId="776D0006" w14:textId="01F20BF3" w:rsidR="00982F05" w:rsidRPr="00052F8F" w:rsidRDefault="00400979" w:rsidP="00052F8F">
      <w:pPr>
        <w:pStyle w:val="ListParagraph"/>
        <w:numPr>
          <w:ilvl w:val="0"/>
          <w:numId w:val="3"/>
        </w:numPr>
        <w:rPr>
          <w:rFonts w:ascii="Arial" w:eastAsia="Times New Roman" w:hAnsi="Arial" w:cs="Arial"/>
          <w:i/>
          <w:iCs/>
        </w:rPr>
      </w:pPr>
      <w:r w:rsidRPr="00F46912">
        <w:rPr>
          <w:rFonts w:ascii="Arial" w:eastAsia="Times New Roman" w:hAnsi="Arial" w:cs="Arial"/>
          <w:b/>
          <w:bCs/>
        </w:rPr>
        <w:t xml:space="preserve">Friends of Aldbury School – </w:t>
      </w:r>
      <w:r w:rsidR="003426BE" w:rsidRPr="003426BE">
        <w:rPr>
          <w:rFonts w:ascii="Arial" w:eastAsia="Times New Roman" w:hAnsi="Arial" w:cs="Arial"/>
        </w:rPr>
        <w:t xml:space="preserve">application not yet returned </w:t>
      </w:r>
    </w:p>
    <w:p w14:paraId="64B329F4" w14:textId="77777777" w:rsidR="00052F8F" w:rsidRPr="00052F8F" w:rsidRDefault="00052F8F" w:rsidP="00052F8F">
      <w:pPr>
        <w:pStyle w:val="ListParagraph"/>
        <w:rPr>
          <w:rFonts w:ascii="Arial" w:eastAsia="Times New Roman" w:hAnsi="Arial" w:cs="Arial"/>
          <w:i/>
          <w:iCs/>
        </w:rPr>
      </w:pPr>
    </w:p>
    <w:p w14:paraId="33B292B6" w14:textId="77777777" w:rsidR="00052F8F" w:rsidRPr="00052F8F" w:rsidRDefault="00052F8F" w:rsidP="00052F8F">
      <w:pPr>
        <w:pStyle w:val="ListParagraph"/>
        <w:ind w:left="644"/>
        <w:rPr>
          <w:rFonts w:ascii="Arial" w:eastAsia="Times New Roman" w:hAnsi="Arial" w:cs="Arial"/>
          <w:i/>
          <w:iCs/>
        </w:rPr>
      </w:pPr>
    </w:p>
    <w:p w14:paraId="545A1F28" w14:textId="77777777" w:rsidR="00A23310" w:rsidRPr="00A23310" w:rsidRDefault="00055AD7" w:rsidP="00A23310">
      <w:pPr>
        <w:pStyle w:val="ListParagraph"/>
        <w:numPr>
          <w:ilvl w:val="0"/>
          <w:numId w:val="3"/>
        </w:numPr>
        <w:rPr>
          <w:rFonts w:ascii="Arial" w:eastAsia="Times New Roman" w:hAnsi="Arial" w:cs="Arial"/>
          <w:lang w:val="en-GB"/>
        </w:rPr>
      </w:pPr>
      <w:r>
        <w:rPr>
          <w:rFonts w:ascii="Arial" w:eastAsia="Times New Roman" w:hAnsi="Arial" w:cs="Arial"/>
          <w:b/>
          <w:bCs/>
        </w:rPr>
        <w:t xml:space="preserve">Aldbury </w:t>
      </w:r>
      <w:r w:rsidR="00400979" w:rsidRPr="00F46912">
        <w:rPr>
          <w:rFonts w:ascii="Arial" w:eastAsia="Times New Roman" w:hAnsi="Arial" w:cs="Arial"/>
          <w:b/>
          <w:bCs/>
        </w:rPr>
        <w:t>Memorial Hall –</w:t>
      </w:r>
      <w:r w:rsidR="001D0E1A">
        <w:rPr>
          <w:rFonts w:ascii="Arial" w:eastAsia="Times New Roman" w:hAnsi="Arial" w:cs="Arial"/>
          <w:b/>
          <w:bCs/>
        </w:rPr>
        <w:t xml:space="preserve"> applied for </w:t>
      </w:r>
      <w:r w:rsidR="0034434C">
        <w:rPr>
          <w:rFonts w:ascii="Arial" w:eastAsia="Times New Roman" w:hAnsi="Arial" w:cs="Arial"/>
          <w:b/>
          <w:bCs/>
        </w:rPr>
        <w:t xml:space="preserve">up to </w:t>
      </w:r>
      <w:r w:rsidR="001D0E1A">
        <w:rPr>
          <w:rFonts w:ascii="Arial" w:eastAsia="Times New Roman" w:hAnsi="Arial" w:cs="Arial"/>
          <w:b/>
          <w:bCs/>
        </w:rPr>
        <w:t xml:space="preserve">£1,000 – </w:t>
      </w:r>
      <w:r w:rsidR="0034434C" w:rsidRPr="00A23310">
        <w:rPr>
          <w:rFonts w:ascii="Arial" w:eastAsia="Times New Roman" w:hAnsi="Arial" w:cs="Arial"/>
        </w:rPr>
        <w:t>“</w:t>
      </w:r>
      <w:r w:rsidR="0034434C" w:rsidRPr="00A23310">
        <w:rPr>
          <w:rFonts w:ascii="Arial" w:eastAsia="Times New Roman" w:hAnsi="Arial" w:cs="Arial"/>
        </w:rPr>
        <w:t xml:space="preserve">An increase in the number of “bread and butter” bookings (ie non-film and elections) suggests the improvements </w:t>
      </w:r>
      <w:r w:rsidR="0034434C" w:rsidRPr="00A23310">
        <w:rPr>
          <w:rFonts w:ascii="Arial" w:eastAsia="Times New Roman" w:hAnsi="Arial" w:cs="Arial"/>
        </w:rPr>
        <w:lastRenderedPageBreak/>
        <w:t>are paying off in terms of boosting ongoing income. However the environment remains competitive and the trustees are looking at further work to enhance the hall’s attractiveness as a venue. To that end they are planning to improve the lighting. Part of the plan is to increase the level of illumination adding extra lights but the key thrust is the installation of “smart lighting”. This will bring in the ability to</w:t>
      </w:r>
      <w:r w:rsidR="00A23310" w:rsidRPr="00A23310">
        <w:rPr>
          <w:rFonts w:ascii="Arial" w:eastAsia="Times New Roman" w:hAnsi="Arial" w:cs="Arial"/>
        </w:rPr>
        <w:t xml:space="preserve"> </w:t>
      </w:r>
      <w:r w:rsidR="00A23310" w:rsidRPr="00A23310">
        <w:rPr>
          <w:rFonts w:ascii="Arial" w:eastAsia="Times New Roman" w:hAnsi="Arial" w:cs="Arial"/>
          <w:lang w:val="en-GB"/>
        </w:rPr>
        <w:t>provide coloured and sequenced lighting to improve the ambience for events such as parties and concerts.</w:t>
      </w:r>
    </w:p>
    <w:p w14:paraId="206A355F" w14:textId="08D95EBB" w:rsidR="00A23310" w:rsidRDefault="00A23310" w:rsidP="00A23310">
      <w:pPr>
        <w:pStyle w:val="ListParagraph"/>
        <w:ind w:left="644"/>
        <w:rPr>
          <w:rFonts w:ascii="Arial" w:eastAsia="Times New Roman" w:hAnsi="Arial" w:cs="Arial"/>
          <w:lang w:val="en-GB"/>
        </w:rPr>
      </w:pPr>
      <w:r w:rsidRPr="00A23310">
        <w:rPr>
          <w:rFonts w:ascii="Arial" w:eastAsia="Times New Roman" w:hAnsi="Arial" w:cs="Arial"/>
          <w:lang w:val="en-GB"/>
        </w:rPr>
        <w:t xml:space="preserve">The trustees have earmarked a budget of £2,500 for the work and are also investigating the </w:t>
      </w:r>
      <w:r w:rsidR="00982F05" w:rsidRPr="00A23310">
        <w:rPr>
          <w:rFonts w:ascii="Arial" w:eastAsia="Times New Roman" w:hAnsi="Arial" w:cs="Arial"/>
          <w:lang w:val="en-GB"/>
        </w:rPr>
        <w:t>prospect</w:t>
      </w:r>
      <w:r w:rsidRPr="00A23310">
        <w:rPr>
          <w:rFonts w:ascii="Arial" w:eastAsia="Times New Roman" w:hAnsi="Arial" w:cs="Arial"/>
          <w:lang w:val="en-GB"/>
        </w:rPr>
        <w:t xml:space="preserve"> of installing solar panels on the roof at the back of the building. In consequence the trustees are seeking financial support from the Parish Council of up to £1,000.</w:t>
      </w:r>
      <w:r>
        <w:rPr>
          <w:rFonts w:ascii="Arial" w:eastAsia="Times New Roman" w:hAnsi="Arial" w:cs="Arial"/>
          <w:lang w:val="en-GB"/>
        </w:rPr>
        <w:t>”</w:t>
      </w:r>
    </w:p>
    <w:p w14:paraId="1835DA44" w14:textId="77777777" w:rsidR="00047B8B" w:rsidRDefault="00047B8B" w:rsidP="00A23310">
      <w:pPr>
        <w:pStyle w:val="ListParagraph"/>
        <w:ind w:left="644"/>
        <w:rPr>
          <w:rFonts w:ascii="Arial" w:eastAsia="Times New Roman" w:hAnsi="Arial" w:cs="Arial"/>
          <w:lang w:val="en-GB"/>
        </w:rPr>
      </w:pPr>
    </w:p>
    <w:p w14:paraId="45A42FC9" w14:textId="6E4BD121" w:rsidR="00047B8B" w:rsidRDefault="00047B8B" w:rsidP="00047B8B">
      <w:pPr>
        <w:pStyle w:val="ListParagraph"/>
        <w:numPr>
          <w:ilvl w:val="0"/>
          <w:numId w:val="3"/>
        </w:numPr>
        <w:rPr>
          <w:rFonts w:ascii="Arial" w:eastAsia="Times New Roman" w:hAnsi="Arial" w:cs="Arial"/>
          <w:lang w:val="en-GB"/>
        </w:rPr>
      </w:pPr>
      <w:r w:rsidRPr="00987EED">
        <w:rPr>
          <w:rFonts w:ascii="Arial" w:eastAsia="Times New Roman" w:hAnsi="Arial" w:cs="Arial"/>
          <w:b/>
          <w:bCs/>
          <w:lang w:val="en-GB"/>
        </w:rPr>
        <w:t>Aldbury Church Bellringers</w:t>
      </w:r>
      <w:r>
        <w:rPr>
          <w:rFonts w:ascii="Arial" w:eastAsia="Times New Roman" w:hAnsi="Arial" w:cs="Arial"/>
          <w:lang w:val="en-GB"/>
        </w:rPr>
        <w:t xml:space="preserve"> – asked for any donation towards </w:t>
      </w:r>
      <w:r w:rsidR="00987EED">
        <w:rPr>
          <w:rFonts w:ascii="Arial" w:eastAsia="Times New Roman" w:hAnsi="Arial" w:cs="Arial"/>
          <w:lang w:val="en-GB"/>
        </w:rPr>
        <w:t xml:space="preserve">remedial work of the Church bell. </w:t>
      </w:r>
    </w:p>
    <w:p w14:paraId="13B66A60" w14:textId="258E504F" w:rsidR="00400979" w:rsidRPr="00987EED" w:rsidRDefault="00400979" w:rsidP="00987EED">
      <w:pPr>
        <w:rPr>
          <w:rFonts w:ascii="Arial" w:eastAsia="Times New Roman" w:hAnsi="Arial" w:cs="Arial"/>
          <w:lang w:val="en-GB"/>
        </w:rPr>
      </w:pPr>
    </w:p>
    <w:p w14:paraId="6C43F30E" w14:textId="77777777" w:rsidR="00EE6E4A" w:rsidRDefault="00EE6E4A" w:rsidP="002C73C1">
      <w:pPr>
        <w:pBdr>
          <w:top w:val="single" w:sz="4" w:space="1" w:color="auto"/>
        </w:pBdr>
        <w:rPr>
          <w:rFonts w:ascii="Arial" w:eastAsia="Times New Roman" w:hAnsi="Arial" w:cs="Arial"/>
          <w:b/>
          <w:bCs/>
          <w:i/>
          <w:iCs/>
        </w:rPr>
      </w:pPr>
    </w:p>
    <w:p w14:paraId="07B45B0E" w14:textId="77777777" w:rsidR="002C73C1" w:rsidRDefault="002C73C1" w:rsidP="002C73C1">
      <w:pPr>
        <w:spacing w:line="252" w:lineRule="auto"/>
        <w:rPr>
          <w:rFonts w:ascii="Arial" w:hAnsi="Arial" w:cs="Arial"/>
          <w:b/>
          <w:bCs/>
        </w:rPr>
      </w:pPr>
      <w:r w:rsidRPr="0060090C">
        <w:rPr>
          <w:rFonts w:ascii="Arial" w:hAnsi="Arial" w:cs="Arial"/>
          <w:b/>
          <w:bCs/>
        </w:rPr>
        <w:t>Parish Council Funding for places of worship</w:t>
      </w:r>
      <w:r>
        <w:rPr>
          <w:rFonts w:ascii="Arial" w:hAnsi="Arial" w:cs="Arial"/>
          <w:b/>
          <w:bCs/>
        </w:rPr>
        <w:t xml:space="preserve"> – information obtained from SLCC website News &amp; Publications 5</w:t>
      </w:r>
      <w:r w:rsidRPr="00207350">
        <w:rPr>
          <w:rFonts w:ascii="Arial" w:hAnsi="Arial" w:cs="Arial"/>
          <w:b/>
          <w:bCs/>
          <w:vertAlign w:val="superscript"/>
        </w:rPr>
        <w:t>th</w:t>
      </w:r>
      <w:r>
        <w:rPr>
          <w:rFonts w:ascii="Arial" w:hAnsi="Arial" w:cs="Arial"/>
          <w:b/>
          <w:bCs/>
        </w:rPr>
        <w:t xml:space="preserve"> December 2023</w:t>
      </w:r>
    </w:p>
    <w:p w14:paraId="2D15D3B2" w14:textId="77777777" w:rsidR="002C73C1" w:rsidRPr="00207350" w:rsidRDefault="002C73C1" w:rsidP="002C73C1">
      <w:pPr>
        <w:spacing w:line="252" w:lineRule="auto"/>
        <w:rPr>
          <w:rFonts w:ascii="Arial" w:hAnsi="Arial" w:cs="Arial"/>
          <w:lang w:val="en-GB"/>
        </w:rPr>
      </w:pPr>
      <w:r>
        <w:rPr>
          <w:rFonts w:ascii="Arial" w:hAnsi="Arial" w:cs="Arial"/>
          <w:lang w:val="en-GB"/>
        </w:rPr>
        <w:t>“</w:t>
      </w:r>
      <w:r w:rsidRPr="00207350">
        <w:rPr>
          <w:rFonts w:ascii="Arial" w:hAnsi="Arial" w:cs="Arial"/>
          <w:lang w:val="en-GB"/>
        </w:rPr>
        <w:t>As part of the Lords Report Stage of the Levelling Up and Regeneration Bill, the government made an amendment to the Local Government Act 1894 with the aim of clarifying that there is nothing to prevent local councils from funding churches and other places of worship.</w:t>
      </w:r>
    </w:p>
    <w:p w14:paraId="39672290" w14:textId="77777777" w:rsidR="002C73C1" w:rsidRPr="00207350" w:rsidRDefault="002C73C1" w:rsidP="002C73C1">
      <w:pPr>
        <w:spacing w:line="252" w:lineRule="auto"/>
        <w:rPr>
          <w:rFonts w:ascii="Arial" w:hAnsi="Arial" w:cs="Arial"/>
          <w:lang w:val="en-GB"/>
        </w:rPr>
      </w:pPr>
      <w:r w:rsidRPr="00207350">
        <w:rPr>
          <w:rFonts w:ascii="Arial" w:hAnsi="Arial" w:cs="Arial"/>
          <w:lang w:val="en-GB"/>
        </w:rPr>
        <w:t>The amendment, which will be inserted after section 19 of the Local Government Act 1894 is:</w:t>
      </w:r>
    </w:p>
    <w:p w14:paraId="44A5D26B" w14:textId="77777777" w:rsidR="002C73C1" w:rsidRPr="00244F4D" w:rsidRDefault="002C73C1" w:rsidP="002C73C1">
      <w:pPr>
        <w:spacing w:line="252" w:lineRule="auto"/>
        <w:rPr>
          <w:rFonts w:ascii="Arial" w:hAnsi="Arial" w:cs="Arial"/>
          <w:i/>
          <w:iCs/>
          <w:lang w:val="en-GB"/>
        </w:rPr>
      </w:pPr>
      <w:r w:rsidRPr="00207350">
        <w:rPr>
          <w:rFonts w:ascii="Arial" w:hAnsi="Arial" w:cs="Arial"/>
          <w:i/>
          <w:iCs/>
          <w:lang w:val="en-GB"/>
        </w:rPr>
        <w:t>19A Powers under other enactments (1) Nothing in this Part affects any powers, duties or liabilities conferred on a parish council by or under any other enactment (whenever passed or made). (2) This section does not apply in relation to community councils (see section 179(4) of the Local Government Act 1972</w:t>
      </w:r>
    </w:p>
    <w:p w14:paraId="28862020" w14:textId="77777777" w:rsidR="002C73C1" w:rsidRPr="00244F4D" w:rsidRDefault="002C73C1" w:rsidP="002C73C1">
      <w:pPr>
        <w:spacing w:line="252" w:lineRule="auto"/>
        <w:rPr>
          <w:rFonts w:ascii="Arial" w:hAnsi="Arial" w:cs="Arial"/>
          <w:lang w:val="en-GB"/>
        </w:rPr>
      </w:pPr>
      <w:r w:rsidRPr="00244F4D">
        <w:rPr>
          <w:rFonts w:ascii="Arial" w:hAnsi="Arial" w:cs="Arial"/>
          <w:i/>
          <w:iCs/>
          <w:lang w:val="en-GB"/>
        </w:rPr>
        <w:t>Parliamentary Explanatory Note: This amendment inserts a new section into the Local Government Act 1894 to clarify that the powers conferred on parish councils under Part 1 of that Act do not affect any powers, duties or liabilities of parish councils conferred by or under any other enactment (whenever passed or made).</w:t>
      </w:r>
    </w:p>
    <w:p w14:paraId="3C8B2984" w14:textId="77777777" w:rsidR="002C73C1" w:rsidRPr="00244F4D" w:rsidRDefault="002C73C1" w:rsidP="002C73C1">
      <w:pPr>
        <w:spacing w:line="252" w:lineRule="auto"/>
        <w:rPr>
          <w:rFonts w:ascii="Arial" w:hAnsi="Arial" w:cs="Arial"/>
          <w:lang w:val="en-GB"/>
        </w:rPr>
      </w:pPr>
      <w:r w:rsidRPr="00244F4D">
        <w:rPr>
          <w:rFonts w:ascii="Arial" w:hAnsi="Arial" w:cs="Arial"/>
          <w:lang w:val="en-GB"/>
        </w:rPr>
        <w:t>To seek further clarification, particularly around what funding can be used for, whether it applies to town and community councils in Wales and if it applies to all faiths, SLCC wrote to the Department of Levelling, Housing and Communities (DLUHC).</w:t>
      </w:r>
    </w:p>
    <w:p w14:paraId="41C48824" w14:textId="77777777" w:rsidR="002C73C1" w:rsidRDefault="002C73C1" w:rsidP="002C73C1">
      <w:pPr>
        <w:spacing w:line="252" w:lineRule="auto"/>
        <w:rPr>
          <w:rFonts w:ascii="Arial" w:hAnsi="Arial" w:cs="Arial"/>
          <w:lang w:val="en-GB"/>
        </w:rPr>
      </w:pPr>
      <w:r w:rsidRPr="00244F4D">
        <w:rPr>
          <w:rFonts w:ascii="Arial" w:hAnsi="Arial" w:cs="Arial"/>
          <w:lang w:val="en-GB"/>
        </w:rPr>
        <w:t>The DLUH</w:t>
      </w:r>
      <w:r>
        <w:rPr>
          <w:rFonts w:ascii="Arial" w:hAnsi="Arial" w:cs="Arial"/>
          <w:lang w:val="en-GB"/>
        </w:rPr>
        <w:t>C</w:t>
      </w:r>
      <w:r w:rsidRPr="00244F4D">
        <w:rPr>
          <w:rFonts w:ascii="Arial" w:hAnsi="Arial" w:cs="Arial"/>
          <w:lang w:val="en-GB"/>
        </w:rPr>
        <w:t xml:space="preserve"> response reiterated that there was nothing in the 1894 Act prohibiting parish councils from funding the maintenance and upkeep of churches and other religious buildings should they wish to do so. Also, that this new amendment clarifies that the Local Government Act 1894 does not affect the powers, duties or liabilities of parish councils in England under any other legislation. It also confirmed that the amendment applies to England only. Furthermore, the amendment does not limit funding to any denomination.</w:t>
      </w:r>
    </w:p>
    <w:p w14:paraId="17E49A45" w14:textId="1EF4E97E" w:rsidR="00A5756D" w:rsidRPr="003E682C" w:rsidRDefault="002C73C1" w:rsidP="003E682C">
      <w:pPr>
        <w:spacing w:line="252" w:lineRule="auto"/>
        <w:rPr>
          <w:rFonts w:ascii="Arial" w:hAnsi="Arial" w:cs="Arial"/>
        </w:rPr>
      </w:pPr>
      <w:r w:rsidRPr="001D0DD1">
        <w:rPr>
          <w:rFonts w:ascii="Arial" w:hAnsi="Arial" w:cs="Arial"/>
        </w:rPr>
        <w:t>SLCC with the National Association of Local Councils (NALC) has long campaigned for a change in the legislation. We interpret this amendment as confirming that parish councils can continue to use existing specific powers in respect of church property (e.g. powers to maintain open churchyards and church clocks)</w:t>
      </w:r>
      <w:r>
        <w:rPr>
          <w:rFonts w:ascii="Arial" w:hAnsi="Arial" w:cs="Arial"/>
        </w:rPr>
        <w:t>”</w:t>
      </w:r>
    </w:p>
    <w:sectPr w:rsidR="00A5756D" w:rsidRPr="003E6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C6"/>
    <w:multiLevelType w:val="hybridMultilevel"/>
    <w:tmpl w:val="8A9ABE34"/>
    <w:lvl w:ilvl="0" w:tplc="986E39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337BC"/>
    <w:multiLevelType w:val="hybridMultilevel"/>
    <w:tmpl w:val="30268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A6296"/>
    <w:multiLevelType w:val="hybridMultilevel"/>
    <w:tmpl w:val="DF4AC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3B287A"/>
    <w:multiLevelType w:val="hybridMultilevel"/>
    <w:tmpl w:val="2592B17A"/>
    <w:lvl w:ilvl="0" w:tplc="986E39BE">
      <w:start w:val="1"/>
      <w:numFmt w:val="bullet"/>
      <w:lvlText w:val="-"/>
      <w:lvlJc w:val="left"/>
      <w:pPr>
        <w:ind w:left="765" w:hanging="360"/>
      </w:pPr>
      <w:rPr>
        <w:rFonts w:ascii="Arial" w:eastAsiaTheme="minorHAns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6DA10370"/>
    <w:multiLevelType w:val="hybridMultilevel"/>
    <w:tmpl w:val="80EEA73A"/>
    <w:lvl w:ilvl="0" w:tplc="FAEA6FB6">
      <w:start w:val="1"/>
      <w:numFmt w:val="decimal"/>
      <w:lvlText w:val="%1."/>
      <w:lvlJc w:val="left"/>
      <w:pPr>
        <w:ind w:left="644"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053262">
    <w:abstractNumId w:val="1"/>
  </w:num>
  <w:num w:numId="2" w16cid:durableId="1119840595">
    <w:abstractNumId w:val="2"/>
  </w:num>
  <w:num w:numId="3" w16cid:durableId="1447116868">
    <w:abstractNumId w:val="4"/>
  </w:num>
  <w:num w:numId="4" w16cid:durableId="1517113354">
    <w:abstractNumId w:val="0"/>
  </w:num>
  <w:num w:numId="5" w16cid:durableId="514999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CA"/>
    <w:rsid w:val="000029EF"/>
    <w:rsid w:val="00025A42"/>
    <w:rsid w:val="00046A38"/>
    <w:rsid w:val="00047599"/>
    <w:rsid w:val="00047B8B"/>
    <w:rsid w:val="00052F8F"/>
    <w:rsid w:val="00055AD7"/>
    <w:rsid w:val="000675C0"/>
    <w:rsid w:val="000850D6"/>
    <w:rsid w:val="000C3139"/>
    <w:rsid w:val="000C54AF"/>
    <w:rsid w:val="00142E2E"/>
    <w:rsid w:val="001813C7"/>
    <w:rsid w:val="001C7880"/>
    <w:rsid w:val="001D0DD1"/>
    <w:rsid w:val="001D0E1A"/>
    <w:rsid w:val="00206880"/>
    <w:rsid w:val="00207350"/>
    <w:rsid w:val="002378CD"/>
    <w:rsid w:val="00237FAD"/>
    <w:rsid w:val="00244F4D"/>
    <w:rsid w:val="002636B0"/>
    <w:rsid w:val="002C73C1"/>
    <w:rsid w:val="002D6606"/>
    <w:rsid w:val="002F7A80"/>
    <w:rsid w:val="00307E81"/>
    <w:rsid w:val="003331D9"/>
    <w:rsid w:val="003426BE"/>
    <w:rsid w:val="0034434C"/>
    <w:rsid w:val="00356E63"/>
    <w:rsid w:val="00360F92"/>
    <w:rsid w:val="00363FD9"/>
    <w:rsid w:val="00381AF4"/>
    <w:rsid w:val="00390688"/>
    <w:rsid w:val="00396AF3"/>
    <w:rsid w:val="003E682C"/>
    <w:rsid w:val="00400979"/>
    <w:rsid w:val="004140B8"/>
    <w:rsid w:val="004304B8"/>
    <w:rsid w:val="004A7A2F"/>
    <w:rsid w:val="004C564A"/>
    <w:rsid w:val="005478D6"/>
    <w:rsid w:val="00554578"/>
    <w:rsid w:val="00570B95"/>
    <w:rsid w:val="0060090C"/>
    <w:rsid w:val="00654AF7"/>
    <w:rsid w:val="00697FCA"/>
    <w:rsid w:val="006A1A2A"/>
    <w:rsid w:val="00731945"/>
    <w:rsid w:val="00746229"/>
    <w:rsid w:val="00756B09"/>
    <w:rsid w:val="007B489D"/>
    <w:rsid w:val="007D34D1"/>
    <w:rsid w:val="007D40D7"/>
    <w:rsid w:val="007F68F0"/>
    <w:rsid w:val="00812335"/>
    <w:rsid w:val="00833299"/>
    <w:rsid w:val="00885BB1"/>
    <w:rsid w:val="008B325B"/>
    <w:rsid w:val="008E78D1"/>
    <w:rsid w:val="008F547E"/>
    <w:rsid w:val="00982F05"/>
    <w:rsid w:val="00987EED"/>
    <w:rsid w:val="00994574"/>
    <w:rsid w:val="009A6E18"/>
    <w:rsid w:val="009F5172"/>
    <w:rsid w:val="00A14E86"/>
    <w:rsid w:val="00A23310"/>
    <w:rsid w:val="00A2781A"/>
    <w:rsid w:val="00A43F75"/>
    <w:rsid w:val="00A5756D"/>
    <w:rsid w:val="00AD1FA5"/>
    <w:rsid w:val="00B66A18"/>
    <w:rsid w:val="00B90305"/>
    <w:rsid w:val="00BE601E"/>
    <w:rsid w:val="00BF7108"/>
    <w:rsid w:val="00C54FFA"/>
    <w:rsid w:val="00C769D0"/>
    <w:rsid w:val="00C96176"/>
    <w:rsid w:val="00CA6F4B"/>
    <w:rsid w:val="00CA7593"/>
    <w:rsid w:val="00CC544E"/>
    <w:rsid w:val="00D14607"/>
    <w:rsid w:val="00D2526E"/>
    <w:rsid w:val="00D279FE"/>
    <w:rsid w:val="00DD65BC"/>
    <w:rsid w:val="00DE31F9"/>
    <w:rsid w:val="00DF1F53"/>
    <w:rsid w:val="00E20D8F"/>
    <w:rsid w:val="00E84B59"/>
    <w:rsid w:val="00EB0B5A"/>
    <w:rsid w:val="00EE3905"/>
    <w:rsid w:val="00EE6E4A"/>
    <w:rsid w:val="00EE7B0E"/>
    <w:rsid w:val="00F46912"/>
    <w:rsid w:val="00FA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292"/>
  <w15:chartTrackingRefBased/>
  <w15:docId w15:val="{1BC657AD-0391-455E-A42D-ECC5AB72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97FCA"/>
    <w:pPr>
      <w:spacing w:after="0" w:line="240" w:lineRule="auto"/>
    </w:pPr>
    <w:rPr>
      <w:rFonts w:ascii="Calibri" w:hAnsi="Calibri" w:cs="Calibri"/>
      <w:kern w:val="0"/>
      <w:lang w:val="en-GB" w:eastAsia="en-GB"/>
      <w14:ligatures w14:val="none"/>
    </w:rPr>
  </w:style>
  <w:style w:type="paragraph" w:styleId="ListParagraph">
    <w:name w:val="List Paragraph"/>
    <w:basedOn w:val="Normal"/>
    <w:uiPriority w:val="34"/>
    <w:qFormat/>
    <w:rsid w:val="00DD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8115">
      <w:bodyDiv w:val="1"/>
      <w:marLeft w:val="0"/>
      <w:marRight w:val="0"/>
      <w:marTop w:val="0"/>
      <w:marBottom w:val="0"/>
      <w:divBdr>
        <w:top w:val="none" w:sz="0" w:space="0" w:color="auto"/>
        <w:left w:val="none" w:sz="0" w:space="0" w:color="auto"/>
        <w:bottom w:val="none" w:sz="0" w:space="0" w:color="auto"/>
        <w:right w:val="none" w:sz="0" w:space="0" w:color="auto"/>
      </w:divBdr>
    </w:div>
    <w:div w:id="403527162">
      <w:bodyDiv w:val="1"/>
      <w:marLeft w:val="0"/>
      <w:marRight w:val="0"/>
      <w:marTop w:val="0"/>
      <w:marBottom w:val="0"/>
      <w:divBdr>
        <w:top w:val="none" w:sz="0" w:space="0" w:color="auto"/>
        <w:left w:val="none" w:sz="0" w:space="0" w:color="auto"/>
        <w:bottom w:val="none" w:sz="0" w:space="0" w:color="auto"/>
        <w:right w:val="none" w:sz="0" w:space="0" w:color="auto"/>
      </w:divBdr>
    </w:div>
    <w:div w:id="442960920">
      <w:bodyDiv w:val="1"/>
      <w:marLeft w:val="0"/>
      <w:marRight w:val="0"/>
      <w:marTop w:val="0"/>
      <w:marBottom w:val="0"/>
      <w:divBdr>
        <w:top w:val="none" w:sz="0" w:space="0" w:color="auto"/>
        <w:left w:val="none" w:sz="0" w:space="0" w:color="auto"/>
        <w:bottom w:val="none" w:sz="0" w:space="0" w:color="auto"/>
        <w:right w:val="none" w:sz="0" w:space="0" w:color="auto"/>
      </w:divBdr>
    </w:div>
    <w:div w:id="655038016">
      <w:bodyDiv w:val="1"/>
      <w:marLeft w:val="0"/>
      <w:marRight w:val="0"/>
      <w:marTop w:val="0"/>
      <w:marBottom w:val="0"/>
      <w:divBdr>
        <w:top w:val="none" w:sz="0" w:space="0" w:color="auto"/>
        <w:left w:val="none" w:sz="0" w:space="0" w:color="auto"/>
        <w:bottom w:val="none" w:sz="0" w:space="0" w:color="auto"/>
        <w:right w:val="none" w:sz="0" w:space="0" w:color="auto"/>
      </w:divBdr>
    </w:div>
    <w:div w:id="904293148">
      <w:bodyDiv w:val="1"/>
      <w:marLeft w:val="0"/>
      <w:marRight w:val="0"/>
      <w:marTop w:val="0"/>
      <w:marBottom w:val="0"/>
      <w:divBdr>
        <w:top w:val="none" w:sz="0" w:space="0" w:color="auto"/>
        <w:left w:val="none" w:sz="0" w:space="0" w:color="auto"/>
        <w:bottom w:val="none" w:sz="0" w:space="0" w:color="auto"/>
        <w:right w:val="none" w:sz="0" w:space="0" w:color="auto"/>
      </w:divBdr>
    </w:div>
    <w:div w:id="986670579">
      <w:bodyDiv w:val="1"/>
      <w:marLeft w:val="0"/>
      <w:marRight w:val="0"/>
      <w:marTop w:val="0"/>
      <w:marBottom w:val="0"/>
      <w:divBdr>
        <w:top w:val="none" w:sz="0" w:space="0" w:color="auto"/>
        <w:left w:val="none" w:sz="0" w:space="0" w:color="auto"/>
        <w:bottom w:val="none" w:sz="0" w:space="0" w:color="auto"/>
        <w:right w:val="none" w:sz="0" w:space="0" w:color="auto"/>
      </w:divBdr>
    </w:div>
    <w:div w:id="1072433471">
      <w:bodyDiv w:val="1"/>
      <w:marLeft w:val="0"/>
      <w:marRight w:val="0"/>
      <w:marTop w:val="0"/>
      <w:marBottom w:val="0"/>
      <w:divBdr>
        <w:top w:val="none" w:sz="0" w:space="0" w:color="auto"/>
        <w:left w:val="none" w:sz="0" w:space="0" w:color="auto"/>
        <w:bottom w:val="none" w:sz="0" w:space="0" w:color="auto"/>
        <w:right w:val="none" w:sz="0" w:space="0" w:color="auto"/>
      </w:divBdr>
    </w:div>
    <w:div w:id="1105885672">
      <w:bodyDiv w:val="1"/>
      <w:marLeft w:val="0"/>
      <w:marRight w:val="0"/>
      <w:marTop w:val="0"/>
      <w:marBottom w:val="0"/>
      <w:divBdr>
        <w:top w:val="none" w:sz="0" w:space="0" w:color="auto"/>
        <w:left w:val="none" w:sz="0" w:space="0" w:color="auto"/>
        <w:bottom w:val="none" w:sz="0" w:space="0" w:color="auto"/>
        <w:right w:val="none" w:sz="0" w:space="0" w:color="auto"/>
      </w:divBdr>
    </w:div>
    <w:div w:id="1123960749">
      <w:bodyDiv w:val="1"/>
      <w:marLeft w:val="0"/>
      <w:marRight w:val="0"/>
      <w:marTop w:val="0"/>
      <w:marBottom w:val="0"/>
      <w:divBdr>
        <w:top w:val="none" w:sz="0" w:space="0" w:color="auto"/>
        <w:left w:val="none" w:sz="0" w:space="0" w:color="auto"/>
        <w:bottom w:val="none" w:sz="0" w:space="0" w:color="auto"/>
        <w:right w:val="none" w:sz="0" w:space="0" w:color="auto"/>
      </w:divBdr>
    </w:div>
    <w:div w:id="1163398248">
      <w:bodyDiv w:val="1"/>
      <w:marLeft w:val="0"/>
      <w:marRight w:val="0"/>
      <w:marTop w:val="0"/>
      <w:marBottom w:val="0"/>
      <w:divBdr>
        <w:top w:val="none" w:sz="0" w:space="0" w:color="auto"/>
        <w:left w:val="none" w:sz="0" w:space="0" w:color="auto"/>
        <w:bottom w:val="none" w:sz="0" w:space="0" w:color="auto"/>
        <w:right w:val="none" w:sz="0" w:space="0" w:color="auto"/>
      </w:divBdr>
    </w:div>
    <w:div w:id="1457522279">
      <w:bodyDiv w:val="1"/>
      <w:marLeft w:val="0"/>
      <w:marRight w:val="0"/>
      <w:marTop w:val="0"/>
      <w:marBottom w:val="0"/>
      <w:divBdr>
        <w:top w:val="none" w:sz="0" w:space="0" w:color="auto"/>
        <w:left w:val="none" w:sz="0" w:space="0" w:color="auto"/>
        <w:bottom w:val="none" w:sz="0" w:space="0" w:color="auto"/>
        <w:right w:val="none" w:sz="0" w:space="0" w:color="auto"/>
      </w:divBdr>
    </w:div>
    <w:div w:id="1619679313">
      <w:bodyDiv w:val="1"/>
      <w:marLeft w:val="0"/>
      <w:marRight w:val="0"/>
      <w:marTop w:val="0"/>
      <w:marBottom w:val="0"/>
      <w:divBdr>
        <w:top w:val="none" w:sz="0" w:space="0" w:color="auto"/>
        <w:left w:val="none" w:sz="0" w:space="0" w:color="auto"/>
        <w:bottom w:val="none" w:sz="0" w:space="0" w:color="auto"/>
        <w:right w:val="none" w:sz="0" w:space="0" w:color="auto"/>
      </w:divBdr>
    </w:div>
    <w:div w:id="1766269183">
      <w:bodyDiv w:val="1"/>
      <w:marLeft w:val="0"/>
      <w:marRight w:val="0"/>
      <w:marTop w:val="0"/>
      <w:marBottom w:val="0"/>
      <w:divBdr>
        <w:top w:val="none" w:sz="0" w:space="0" w:color="auto"/>
        <w:left w:val="none" w:sz="0" w:space="0" w:color="auto"/>
        <w:bottom w:val="none" w:sz="0" w:space="0" w:color="auto"/>
        <w:right w:val="none" w:sz="0" w:space="0" w:color="auto"/>
      </w:divBdr>
    </w:div>
    <w:div w:id="1816335221">
      <w:bodyDiv w:val="1"/>
      <w:marLeft w:val="0"/>
      <w:marRight w:val="0"/>
      <w:marTop w:val="0"/>
      <w:marBottom w:val="0"/>
      <w:divBdr>
        <w:top w:val="none" w:sz="0" w:space="0" w:color="auto"/>
        <w:left w:val="none" w:sz="0" w:space="0" w:color="auto"/>
        <w:bottom w:val="none" w:sz="0" w:space="0" w:color="auto"/>
        <w:right w:val="none" w:sz="0" w:space="0" w:color="auto"/>
      </w:divBdr>
    </w:div>
    <w:div w:id="1844779868">
      <w:bodyDiv w:val="1"/>
      <w:marLeft w:val="0"/>
      <w:marRight w:val="0"/>
      <w:marTop w:val="0"/>
      <w:marBottom w:val="0"/>
      <w:divBdr>
        <w:top w:val="none" w:sz="0" w:space="0" w:color="auto"/>
        <w:left w:val="none" w:sz="0" w:space="0" w:color="auto"/>
        <w:bottom w:val="none" w:sz="0" w:space="0" w:color="auto"/>
        <w:right w:val="none" w:sz="0" w:space="0" w:color="auto"/>
      </w:divBdr>
    </w:div>
    <w:div w:id="1970818999">
      <w:bodyDiv w:val="1"/>
      <w:marLeft w:val="0"/>
      <w:marRight w:val="0"/>
      <w:marTop w:val="0"/>
      <w:marBottom w:val="0"/>
      <w:divBdr>
        <w:top w:val="none" w:sz="0" w:space="0" w:color="auto"/>
        <w:left w:val="none" w:sz="0" w:space="0" w:color="auto"/>
        <w:bottom w:val="none" w:sz="0" w:space="0" w:color="auto"/>
        <w:right w:val="none" w:sz="0" w:space="0" w:color="auto"/>
      </w:divBdr>
    </w:div>
    <w:div w:id="19936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789</Words>
  <Characters>4320</Characters>
  <Application>Microsoft Office Word</Application>
  <DocSecurity>0</DocSecurity>
  <Lines>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33</cp:revision>
  <dcterms:created xsi:type="dcterms:W3CDTF">2024-11-01T17:24:00Z</dcterms:created>
  <dcterms:modified xsi:type="dcterms:W3CDTF">2025-10-30T18:08:00Z</dcterms:modified>
</cp:coreProperties>
</file>